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3BC0" w14:textId="6B73B26D" w:rsidR="0045107C" w:rsidRPr="00D75E92" w:rsidRDefault="00BA04C6">
      <w:pPr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33E0EA3" wp14:editId="263FBA7A">
            <wp:simplePos x="0" y="0"/>
            <wp:positionH relativeFrom="column">
              <wp:posOffset>2600553</wp:posOffset>
            </wp:positionH>
            <wp:positionV relativeFrom="paragraph">
              <wp:posOffset>3480</wp:posOffset>
            </wp:positionV>
            <wp:extent cx="1174750" cy="523240"/>
            <wp:effectExtent l="0" t="0" r="6350" b="0"/>
            <wp:wrapTight wrapText="bothSides">
              <wp:wrapPolygon edited="0">
                <wp:start x="0" y="0"/>
                <wp:lineTo x="0" y="20447"/>
                <wp:lineTo x="21366" y="20447"/>
                <wp:lineTo x="213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B0FD8" w14:textId="07D7DEA5" w:rsidR="00BA04C6" w:rsidRPr="00D75E92" w:rsidRDefault="00BA04C6" w:rsidP="00D75E92">
      <w:pPr>
        <w:rPr>
          <w:rFonts w:asciiTheme="minorHAnsi" w:hAnsiTheme="minorHAnsi" w:cstheme="minorHAnsi"/>
          <w:sz w:val="24"/>
          <w:szCs w:val="24"/>
        </w:rPr>
      </w:pPr>
    </w:p>
    <w:p w14:paraId="7F851510" w14:textId="5980DC95" w:rsidR="00BA04C6" w:rsidRPr="00D75E92" w:rsidRDefault="00BA04C6" w:rsidP="00BA04C6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 xml:space="preserve"> COVID-19 </w:t>
      </w:r>
      <w:r w:rsidR="00B75DD6" w:rsidRPr="00D75E92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>Guidance</w:t>
      </w:r>
      <w:r w:rsidRPr="00D75E92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 xml:space="preserve"> Information for </w:t>
      </w:r>
      <w:r w:rsidR="00EF4188" w:rsidRPr="00D75E92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>Early Years and Childcare Providers including Childminders</w:t>
      </w:r>
    </w:p>
    <w:p w14:paraId="53319454" w14:textId="295CAB66" w:rsidR="00BA04C6" w:rsidRPr="00D75E92" w:rsidRDefault="00EF4188" w:rsidP="00BA04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1F7BB3" w:rsidRPr="00D75E9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th </w:t>
      </w:r>
      <w:r w:rsidR="001F7BB3" w:rsidRPr="00D75E92">
        <w:rPr>
          <w:rFonts w:asciiTheme="minorHAnsi" w:hAnsiTheme="minorHAnsi" w:cstheme="minorHAnsi"/>
          <w:b/>
          <w:bCs/>
          <w:sz w:val="24"/>
          <w:szCs w:val="24"/>
        </w:rPr>
        <w:t>July 2021</w:t>
      </w:r>
    </w:p>
    <w:p w14:paraId="08B432AA" w14:textId="03381024" w:rsidR="007E34B5" w:rsidRPr="00D75E92" w:rsidRDefault="00C87E6A" w:rsidP="007E34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D75E92">
        <w:rPr>
          <w:rStyle w:val="normaltextrun"/>
          <w:rFonts w:asciiTheme="minorHAnsi" w:hAnsiTheme="minorHAnsi" w:cstheme="minorHAnsi"/>
        </w:rPr>
        <w:t xml:space="preserve">Firstly, </w:t>
      </w:r>
      <w:r w:rsidR="00EF4188" w:rsidRPr="00D75E92">
        <w:rPr>
          <w:rStyle w:val="normaltextrun"/>
          <w:rFonts w:asciiTheme="minorHAnsi" w:hAnsiTheme="minorHAnsi" w:cstheme="minorHAnsi"/>
        </w:rPr>
        <w:t>a huge ‘</w:t>
      </w:r>
      <w:r w:rsidRPr="00D75E92">
        <w:rPr>
          <w:rStyle w:val="normaltextrun"/>
          <w:rFonts w:asciiTheme="minorHAnsi" w:hAnsiTheme="minorHAnsi" w:cstheme="minorHAnsi"/>
          <w:b/>
          <w:bCs/>
        </w:rPr>
        <w:t>thank you</w:t>
      </w:r>
      <w:r w:rsidR="00EF4188" w:rsidRPr="00D75E92">
        <w:rPr>
          <w:rStyle w:val="normaltextrun"/>
          <w:rFonts w:asciiTheme="minorHAnsi" w:hAnsiTheme="minorHAnsi" w:cstheme="minorHAnsi"/>
          <w:b/>
          <w:bCs/>
        </w:rPr>
        <w:t>’</w:t>
      </w:r>
      <w:r w:rsidR="00550183" w:rsidRPr="00D75E92">
        <w:rPr>
          <w:rStyle w:val="normaltextrun"/>
          <w:rFonts w:asciiTheme="minorHAnsi" w:hAnsiTheme="minorHAnsi" w:cstheme="minorHAnsi"/>
        </w:rPr>
        <w:t xml:space="preserve">. You have </w:t>
      </w:r>
      <w:r w:rsidR="00EF4188" w:rsidRPr="00D75E92">
        <w:rPr>
          <w:rStyle w:val="normaltextrun"/>
          <w:rFonts w:asciiTheme="minorHAnsi" w:hAnsiTheme="minorHAnsi" w:cstheme="minorHAnsi"/>
        </w:rPr>
        <w:t xml:space="preserve">kept your settings open during these challenging times and enabled children to have access to </w:t>
      </w:r>
      <w:r w:rsidR="00300CBB" w:rsidRPr="00D75E92">
        <w:rPr>
          <w:rStyle w:val="normaltextrun"/>
          <w:rFonts w:asciiTheme="minorHAnsi" w:hAnsiTheme="minorHAnsi" w:cstheme="minorHAnsi"/>
        </w:rPr>
        <w:t xml:space="preserve">high quality play and learning </w:t>
      </w:r>
      <w:r w:rsidR="00D75E92" w:rsidRPr="00D75E92">
        <w:rPr>
          <w:rStyle w:val="normaltextrun"/>
          <w:rFonts w:asciiTheme="minorHAnsi" w:hAnsiTheme="minorHAnsi" w:cstheme="minorHAnsi"/>
        </w:rPr>
        <w:t>opportunities</w:t>
      </w:r>
      <w:r w:rsidR="00EF4188" w:rsidRPr="00D75E92">
        <w:rPr>
          <w:rStyle w:val="normaltextrun"/>
          <w:rFonts w:asciiTheme="minorHAnsi" w:hAnsiTheme="minorHAnsi" w:cstheme="minorHAnsi"/>
        </w:rPr>
        <w:t>.</w:t>
      </w:r>
      <w:r w:rsidR="00550183" w:rsidRPr="00D75E92">
        <w:rPr>
          <w:rStyle w:val="normaltextrun"/>
          <w:rFonts w:asciiTheme="minorHAnsi" w:hAnsiTheme="minorHAnsi" w:cstheme="minorHAnsi"/>
        </w:rPr>
        <w:t xml:space="preserve"> </w:t>
      </w:r>
      <w:r w:rsidR="00EF4188" w:rsidRPr="00D75E92">
        <w:rPr>
          <w:rStyle w:val="normaltextrun"/>
          <w:rFonts w:asciiTheme="minorHAnsi" w:hAnsiTheme="minorHAnsi" w:cstheme="minorHAnsi"/>
        </w:rPr>
        <w:t>As the national restrictions are lifted some of you will be closing for the summer break whilst others will remain open as normal</w:t>
      </w:r>
      <w:r w:rsidR="00D75E92">
        <w:rPr>
          <w:rStyle w:val="normaltextrun"/>
          <w:rFonts w:asciiTheme="minorHAnsi" w:hAnsiTheme="minorHAnsi" w:cstheme="minorHAnsi"/>
        </w:rPr>
        <w:t>;</w:t>
      </w:r>
      <w:r w:rsidR="00365512" w:rsidRPr="00D75E92">
        <w:rPr>
          <w:rStyle w:val="normaltextrun"/>
          <w:rFonts w:asciiTheme="minorHAnsi" w:hAnsiTheme="minorHAnsi" w:cstheme="minorHAnsi"/>
        </w:rPr>
        <w:t xml:space="preserve"> some of you</w:t>
      </w:r>
      <w:r w:rsidR="00EF4188" w:rsidRPr="00D75E92">
        <w:rPr>
          <w:rStyle w:val="normaltextrun"/>
          <w:rFonts w:asciiTheme="minorHAnsi" w:hAnsiTheme="minorHAnsi" w:cstheme="minorHAnsi"/>
        </w:rPr>
        <w:t xml:space="preserve"> will be offering holiday clubs and activities for children</w:t>
      </w:r>
      <w:r w:rsidR="00365512" w:rsidRPr="00D75E92">
        <w:rPr>
          <w:rStyle w:val="normaltextrun"/>
          <w:rFonts w:asciiTheme="minorHAnsi" w:hAnsiTheme="minorHAnsi" w:cstheme="minorHAnsi"/>
        </w:rPr>
        <w:t xml:space="preserve"> throughout the holiday period</w:t>
      </w:r>
      <w:r w:rsidR="00EF4188" w:rsidRPr="00D75E92">
        <w:rPr>
          <w:rStyle w:val="normaltextrun"/>
          <w:rFonts w:asciiTheme="minorHAnsi" w:hAnsiTheme="minorHAnsi" w:cstheme="minorHAnsi"/>
        </w:rPr>
        <w:t>.</w:t>
      </w:r>
    </w:p>
    <w:p w14:paraId="50E1B521" w14:textId="3F9B16E5" w:rsidR="007E34B5" w:rsidRPr="00D75E92" w:rsidRDefault="007E34B5" w:rsidP="007E34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B7ACC0E" w14:textId="501DFAFF" w:rsidR="00365512" w:rsidRPr="00D75E92" w:rsidRDefault="00EF4188" w:rsidP="00365512">
      <w:pPr>
        <w:pStyle w:val="xmsonormal"/>
        <w:shd w:val="clear" w:color="auto" w:fill="FFFFFF"/>
        <w:spacing w:before="0" w:beforeAutospacing="0" w:after="0" w:afterAutospacing="0" w:line="220" w:lineRule="atLeast"/>
        <w:rPr>
          <w:rStyle w:val="normaltextrun"/>
          <w:rFonts w:asciiTheme="minorHAnsi" w:hAnsiTheme="minorHAnsi" w:cstheme="minorHAnsi"/>
        </w:rPr>
      </w:pPr>
      <w:r w:rsidRPr="00D75E92">
        <w:rPr>
          <w:rStyle w:val="normaltextrun"/>
          <w:rFonts w:asciiTheme="minorHAnsi" w:hAnsiTheme="minorHAnsi" w:cstheme="minorHAnsi"/>
        </w:rPr>
        <w:t xml:space="preserve">It is important that </w:t>
      </w:r>
      <w:r w:rsidR="00365512" w:rsidRPr="00D75E92">
        <w:rPr>
          <w:rStyle w:val="normaltextrun"/>
          <w:rFonts w:asciiTheme="minorHAnsi" w:hAnsiTheme="minorHAnsi" w:cstheme="minorHAnsi"/>
        </w:rPr>
        <w:t>providers</w:t>
      </w:r>
      <w:r w:rsidR="00DF5C53" w:rsidRPr="00D75E92">
        <w:rPr>
          <w:rStyle w:val="normaltextrun"/>
          <w:rFonts w:asciiTheme="minorHAnsi" w:hAnsiTheme="minorHAnsi" w:cstheme="minorHAnsi"/>
        </w:rPr>
        <w:t xml:space="preserve"> continue following the </w:t>
      </w:r>
      <w:r w:rsidR="00DF5C53" w:rsidRPr="00D75E92">
        <w:rPr>
          <w:rStyle w:val="normaltextrun"/>
          <w:rFonts w:asciiTheme="minorHAnsi" w:hAnsiTheme="minorHAnsi" w:cstheme="minorHAnsi"/>
          <w:b/>
          <w:bCs/>
        </w:rPr>
        <w:t>current guidance</w:t>
      </w:r>
      <w:r w:rsidR="00DF5C53" w:rsidRPr="00D75E92">
        <w:rPr>
          <w:rStyle w:val="normaltextrun"/>
          <w:rFonts w:asciiTheme="minorHAnsi" w:hAnsiTheme="minorHAnsi" w:cstheme="minorHAnsi"/>
        </w:rPr>
        <w:t xml:space="preserve"> until Step 4 comes into </w:t>
      </w:r>
      <w:r w:rsidR="00365512" w:rsidRPr="00D75E92">
        <w:rPr>
          <w:rStyle w:val="normaltextrun"/>
          <w:rFonts w:asciiTheme="minorHAnsi" w:hAnsiTheme="minorHAnsi" w:cstheme="minorHAnsi"/>
        </w:rPr>
        <w:t>effect on 19</w:t>
      </w:r>
      <w:r w:rsidR="00365512" w:rsidRPr="00D75E92">
        <w:rPr>
          <w:rStyle w:val="normaltextrun"/>
          <w:rFonts w:asciiTheme="minorHAnsi" w:hAnsiTheme="minorHAnsi" w:cstheme="minorHAnsi"/>
          <w:vertAlign w:val="superscript"/>
        </w:rPr>
        <w:t>th</w:t>
      </w:r>
      <w:r w:rsidR="00365512" w:rsidRPr="00D75E92">
        <w:rPr>
          <w:rStyle w:val="normaltextrun"/>
          <w:rFonts w:asciiTheme="minorHAnsi" w:hAnsiTheme="minorHAnsi" w:cstheme="minorHAnsi"/>
        </w:rPr>
        <w:t xml:space="preserve"> July 2021. This includes continuing to follow the </w:t>
      </w:r>
      <w:r w:rsidR="00365512" w:rsidRPr="00D75E92">
        <w:rPr>
          <w:rStyle w:val="normaltextrun"/>
          <w:rFonts w:asciiTheme="minorHAnsi" w:hAnsiTheme="minorHAnsi" w:cstheme="minorHAnsi"/>
          <w:b/>
          <w:bCs/>
        </w:rPr>
        <w:t>system of controls</w:t>
      </w:r>
      <w:r w:rsidR="00365512" w:rsidRPr="00D75E92">
        <w:rPr>
          <w:rStyle w:val="normaltextrun"/>
          <w:rFonts w:asciiTheme="minorHAnsi" w:hAnsiTheme="minorHAnsi" w:cstheme="minorHAnsi"/>
        </w:rPr>
        <w:t xml:space="preserve"> set out within the guidance.</w:t>
      </w:r>
      <w:r w:rsidR="00760DA0" w:rsidRPr="00D75E92">
        <w:rPr>
          <w:rStyle w:val="normaltextrun"/>
          <w:rFonts w:asciiTheme="minorHAnsi" w:hAnsiTheme="minorHAnsi" w:cstheme="minorHAnsi"/>
        </w:rPr>
        <w:t xml:space="preserve"> </w:t>
      </w:r>
    </w:p>
    <w:p w14:paraId="44E56D5C" w14:textId="77777777" w:rsidR="00365512" w:rsidRPr="00D75E92" w:rsidRDefault="00365512" w:rsidP="00365512">
      <w:pPr>
        <w:pStyle w:val="xmsonormal"/>
        <w:shd w:val="clear" w:color="auto" w:fill="FFFFFF"/>
        <w:spacing w:before="0" w:beforeAutospacing="0" w:after="0" w:afterAutospacing="0" w:line="220" w:lineRule="atLeast"/>
        <w:ind w:left="567" w:hanging="567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5D04A3A" w14:textId="2CAEB1BD" w:rsidR="00365512" w:rsidRPr="00D75E92" w:rsidRDefault="00365512" w:rsidP="00365512">
      <w:pPr>
        <w:pStyle w:val="xmsonormal"/>
        <w:shd w:val="clear" w:color="auto" w:fill="FFFFFF"/>
        <w:spacing w:before="0" w:beforeAutospacing="0" w:after="0" w:afterAutospacing="0" w:line="220" w:lineRule="atLeast"/>
        <w:ind w:left="567" w:hanging="567"/>
        <w:rPr>
          <w:rFonts w:asciiTheme="minorHAnsi" w:hAnsiTheme="minorHAnsi" w:cstheme="minorHAnsi"/>
          <w:color w:val="000000"/>
        </w:rPr>
      </w:pPr>
      <w:r w:rsidRPr="00D75E9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Actions for early years and childcare providers (applies until Step 4)</w:t>
      </w:r>
    </w:p>
    <w:p w14:paraId="22BC4BA5" w14:textId="77777777" w:rsidR="00365512" w:rsidRPr="00DF5C53" w:rsidRDefault="00365512" w:rsidP="00365512">
      <w:pPr>
        <w:shd w:val="clear" w:color="auto" w:fill="FFFFFF"/>
        <w:spacing w:after="0" w:line="214" w:lineRule="atLeast"/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en-GB"/>
        </w:rPr>
      </w:pPr>
      <w:hyperlink r:id="rId8" w:tgtFrame="_blank" w:history="1">
        <w:r w:rsidRPr="00DF5C53">
          <w:rPr>
            <w:rFonts w:asciiTheme="minorHAnsi" w:eastAsia="Times New Roman" w:hAnsiTheme="minorHAnsi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GB"/>
          </w:rPr>
          <w:t>Actions for early years and childcare providers during the COVID-19 pandemic (applies until Step 4)</w:t>
        </w:r>
      </w:hyperlink>
    </w:p>
    <w:p w14:paraId="34549104" w14:textId="77777777" w:rsidR="00365512" w:rsidRPr="00D75E92" w:rsidRDefault="00365512" w:rsidP="00DF5C53">
      <w:pPr>
        <w:pStyle w:val="xmsonormal"/>
        <w:shd w:val="clear" w:color="auto" w:fill="FFFFFF"/>
        <w:spacing w:before="0" w:beforeAutospacing="0" w:after="0" w:afterAutospacing="0" w:line="220" w:lineRule="atLeast"/>
        <w:ind w:left="567" w:hanging="567"/>
        <w:rPr>
          <w:rStyle w:val="normaltextrun"/>
          <w:rFonts w:asciiTheme="minorHAnsi" w:hAnsiTheme="minorHAnsi" w:cstheme="minorHAnsi"/>
        </w:rPr>
      </w:pPr>
    </w:p>
    <w:p w14:paraId="7C59EBE7" w14:textId="03C9DA42" w:rsidR="00DF5C53" w:rsidRPr="00D75E92" w:rsidRDefault="00DF5C53" w:rsidP="00365512">
      <w:pPr>
        <w:pStyle w:val="xmsonormal"/>
        <w:shd w:val="clear" w:color="auto" w:fill="FFFFFF"/>
        <w:spacing w:before="0" w:beforeAutospacing="0" w:after="0" w:afterAutospacing="0" w:line="220" w:lineRule="atLeast"/>
        <w:ind w:left="567" w:hanging="567"/>
        <w:rPr>
          <w:rFonts w:asciiTheme="minorHAnsi" w:hAnsiTheme="minorHAnsi" w:cstheme="minorHAnsi"/>
        </w:rPr>
      </w:pPr>
      <w:r w:rsidRPr="00D75E92">
        <w:rPr>
          <w:rStyle w:val="normaltextrun"/>
          <w:rFonts w:asciiTheme="minorHAnsi" w:hAnsiTheme="minorHAnsi" w:cstheme="minorHAnsi"/>
        </w:rPr>
        <w:t>This guidance applies to:</w:t>
      </w:r>
      <w:r w:rsidR="00365512" w:rsidRPr="00D75E92">
        <w:rPr>
          <w:rStyle w:val="normaltextrun"/>
          <w:rFonts w:asciiTheme="minorHAnsi" w:hAnsiTheme="minorHAnsi" w:cstheme="minorHAnsi"/>
        </w:rPr>
        <w:t xml:space="preserve"> </w:t>
      </w:r>
      <w:r w:rsidRPr="00D75E92">
        <w:rPr>
          <w:rFonts w:asciiTheme="minorHAnsi" w:hAnsiTheme="minorHAnsi" w:cstheme="minorHAnsi"/>
          <w:color w:val="0B0C0C"/>
        </w:rPr>
        <w:t>local authorities and all early years providers in England.</w:t>
      </w:r>
    </w:p>
    <w:p w14:paraId="20BC0810" w14:textId="77777777" w:rsidR="00DF5C53" w:rsidRPr="00DF5C53" w:rsidRDefault="00DF5C53" w:rsidP="00DF5C53">
      <w:pPr>
        <w:shd w:val="clear" w:color="auto" w:fill="FFFFFF"/>
        <w:spacing w:before="300" w:after="300" w:line="240" w:lineRule="auto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This includes early years provision in:</w:t>
      </w:r>
    </w:p>
    <w:p w14:paraId="688E0D20" w14:textId="77777777" w:rsidR="00DF5C53" w:rsidRPr="00DF5C53" w:rsidRDefault="00DF5C53" w:rsidP="00DF5C53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maintained schools</w:t>
      </w:r>
    </w:p>
    <w:p w14:paraId="2C9A711F" w14:textId="77777777" w:rsidR="00DF5C53" w:rsidRPr="00DF5C53" w:rsidRDefault="00DF5C53" w:rsidP="00DF5C53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non-maintained schools</w:t>
      </w:r>
    </w:p>
    <w:p w14:paraId="3BF28CB3" w14:textId="77777777" w:rsidR="00DF5C53" w:rsidRPr="00DF5C53" w:rsidRDefault="00DF5C53" w:rsidP="00DF5C53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independent schools</w:t>
      </w:r>
    </w:p>
    <w:p w14:paraId="630C9215" w14:textId="77777777" w:rsidR="00DF5C53" w:rsidRPr="00DF5C53" w:rsidRDefault="00DF5C53" w:rsidP="00DF5C53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all providers on the Ofsted early years register</w:t>
      </w:r>
    </w:p>
    <w:p w14:paraId="744D0E69" w14:textId="77777777" w:rsidR="00DF5C53" w:rsidRPr="00DF5C53" w:rsidRDefault="00DF5C53" w:rsidP="00DF5C53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  <w:t>all providers registered with an early years childminder agency</w:t>
      </w:r>
    </w:p>
    <w:p w14:paraId="437D8D55" w14:textId="77777777" w:rsidR="00DF5C53" w:rsidRPr="00D75E92" w:rsidRDefault="00DF5C53" w:rsidP="00DF5C5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</w:p>
    <w:p w14:paraId="4B2EC9BB" w14:textId="09B70B9F" w:rsidR="00DF5C53" w:rsidRPr="00DF5C53" w:rsidRDefault="00300CBB" w:rsidP="00DF5C5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B0C0C"/>
          <w:sz w:val="24"/>
          <w:szCs w:val="24"/>
          <w:lang w:eastAsia="en-GB"/>
        </w:rPr>
      </w:pPr>
      <w:r w:rsidRPr="00D75E92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For </w:t>
      </w:r>
      <w:r w:rsidRPr="009F4DB0">
        <w:rPr>
          <w:rFonts w:asciiTheme="minorHAnsi" w:hAnsiTheme="minorHAnsi" w:cstheme="minorHAnsi"/>
          <w:b/>
          <w:bCs/>
          <w:color w:val="0B0C0C"/>
          <w:sz w:val="24"/>
          <w:szCs w:val="24"/>
          <w:shd w:val="clear" w:color="auto" w:fill="FFFFFF"/>
        </w:rPr>
        <w:t>reception year groups</w:t>
      </w:r>
      <w:r w:rsidRPr="00D75E92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, schools should, in the most part, refer to </w:t>
      </w:r>
      <w:hyperlink r:id="rId9" w:history="1">
        <w:r w:rsidRPr="00D75E92">
          <w:rPr>
            <w:rFonts w:asciiTheme="minorHAnsi" w:hAnsiTheme="minorHAnsi" w:cstheme="minorHAnsi"/>
            <w:color w:val="1D70B8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actions for schools during the COVID-19 pandemic</w:t>
        </w:r>
      </w:hyperlink>
      <w:r w:rsidRPr="00D75E92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 although some of the information in this guidance is relevant to reception.</w:t>
      </w:r>
    </w:p>
    <w:p w14:paraId="7C0C650A" w14:textId="4DD66385" w:rsidR="00DF5C53" w:rsidRPr="00D75E92" w:rsidRDefault="00DF5C53" w:rsidP="00DF5C53">
      <w:pPr>
        <w:pStyle w:val="xmsonormal"/>
        <w:shd w:val="clear" w:color="auto" w:fill="FFFFFF"/>
        <w:spacing w:before="0" w:beforeAutospacing="0" w:after="0" w:afterAutospacing="0" w:line="220" w:lineRule="atLeast"/>
        <w:ind w:left="567" w:hanging="567"/>
        <w:rPr>
          <w:rStyle w:val="normaltextrun"/>
          <w:rFonts w:asciiTheme="minorHAnsi" w:hAnsiTheme="minorHAnsi" w:cstheme="minorHAnsi"/>
        </w:rPr>
      </w:pPr>
    </w:p>
    <w:p w14:paraId="6766440F" w14:textId="4F3975CC" w:rsidR="00300CBB" w:rsidRPr="00D75E92" w:rsidRDefault="00365512" w:rsidP="00300CBB">
      <w:pPr>
        <w:pStyle w:val="xmsonormal"/>
        <w:shd w:val="clear" w:color="auto" w:fill="FFFFFF"/>
        <w:spacing w:before="0" w:beforeAutospacing="0" w:after="0" w:afterAutospacing="0" w:line="220" w:lineRule="atLeast"/>
        <w:rPr>
          <w:rStyle w:val="normaltextrun"/>
          <w:rFonts w:asciiTheme="minorHAnsi" w:hAnsiTheme="minorHAnsi" w:cstheme="minorHAnsi"/>
        </w:rPr>
      </w:pPr>
      <w:r w:rsidRPr="00D75E92">
        <w:rPr>
          <w:rStyle w:val="normaltextrun"/>
          <w:rFonts w:asciiTheme="minorHAnsi" w:hAnsiTheme="minorHAnsi" w:cstheme="minorHAnsi"/>
          <w:b/>
          <w:bCs/>
        </w:rPr>
        <w:t>Holiday clubs and other out-of-school providers</w:t>
      </w:r>
      <w:r w:rsidRPr="00D75E92">
        <w:rPr>
          <w:rStyle w:val="normaltextrun"/>
          <w:rFonts w:asciiTheme="minorHAnsi" w:hAnsiTheme="minorHAnsi" w:cstheme="minorHAnsi"/>
        </w:rPr>
        <w:t xml:space="preserve"> should </w:t>
      </w:r>
      <w:r w:rsidR="00300CBB" w:rsidRPr="00D75E92">
        <w:rPr>
          <w:rStyle w:val="normaltextrun"/>
          <w:rFonts w:asciiTheme="minorHAnsi" w:hAnsiTheme="minorHAnsi" w:cstheme="minorHAnsi"/>
        </w:rPr>
        <w:t xml:space="preserve">also continue to follow the additional guidance in: </w:t>
      </w:r>
    </w:p>
    <w:p w14:paraId="49194D02" w14:textId="77777777" w:rsidR="00300CBB" w:rsidRPr="00D75E92" w:rsidRDefault="00300CBB" w:rsidP="00300CBB">
      <w:pPr>
        <w:pStyle w:val="xmsonormal"/>
        <w:shd w:val="clear" w:color="auto" w:fill="FFFFFF"/>
        <w:spacing w:before="0" w:beforeAutospacing="0" w:after="0" w:afterAutospacing="0" w:line="220" w:lineRule="atLeast"/>
        <w:rPr>
          <w:rStyle w:val="normaltextrun"/>
          <w:rFonts w:asciiTheme="minorHAnsi" w:hAnsiTheme="minorHAnsi" w:cstheme="minorHAnsi"/>
        </w:rPr>
      </w:pPr>
      <w:hyperlink r:id="rId10" w:history="1">
        <w:r w:rsidRPr="00D75E92">
          <w:rPr>
            <w:rStyle w:val="Hyperlink"/>
            <w:rFonts w:asciiTheme="minorHAnsi" w:hAnsiTheme="minorHAnsi" w:cstheme="minorHAnsi"/>
          </w:rPr>
          <w:t>https://www.gov.uk/government/publications/protective-measures-for-holiday-or-after-school-clubs-and-other-out-of-school-settings-for-children-during-the-coronavirus-covid-19-outbreak</w:t>
        </w:r>
      </w:hyperlink>
    </w:p>
    <w:p w14:paraId="56539ACF" w14:textId="18CFE0B0" w:rsidR="00DF5C53" w:rsidRPr="00D75E92" w:rsidRDefault="00DF5C53" w:rsidP="00DF5C53">
      <w:pPr>
        <w:shd w:val="clear" w:color="auto" w:fill="FFFFFF"/>
        <w:spacing w:after="0" w:line="220" w:lineRule="atLeast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2297768" w14:textId="6F8E9611" w:rsidR="00DF5C53" w:rsidRPr="00DF5C53" w:rsidRDefault="00DF5C53" w:rsidP="00DF5C53">
      <w:pPr>
        <w:shd w:val="clear" w:color="auto" w:fill="FFFFFF"/>
        <w:spacing w:after="0" w:line="22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75E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From 19</w:t>
      </w:r>
      <w:r w:rsidRPr="00D75E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vertAlign w:val="superscript"/>
          <w:lang w:eastAsia="en-GB"/>
        </w:rPr>
        <w:t>th</w:t>
      </w:r>
      <w:r w:rsidRPr="00D75E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July </w:t>
      </w:r>
      <w:r w:rsidR="00365512" w:rsidRPr="00D75E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2021</w:t>
      </w:r>
      <w:r w:rsidR="00300CBB" w:rsidRPr="00D75E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365512" w:rsidRPr="00D75E92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en-GB"/>
        </w:rPr>
        <w:t>providers should start using the updated guidance in:</w:t>
      </w:r>
    </w:p>
    <w:p w14:paraId="435A20BE" w14:textId="77777777" w:rsidR="00300CBB" w:rsidRPr="00D75E92" w:rsidRDefault="00300CBB" w:rsidP="00DF5C53">
      <w:pPr>
        <w:shd w:val="clear" w:color="auto" w:fill="FFFFFF"/>
        <w:spacing w:after="0" w:line="220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066D04A" w14:textId="68F2BD6E" w:rsidR="00DF5C53" w:rsidRPr="00DF5C53" w:rsidRDefault="00DF5C53" w:rsidP="00DF5C53">
      <w:pPr>
        <w:shd w:val="clear" w:color="auto" w:fill="FFFFFF"/>
        <w:spacing w:after="0" w:line="22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F5C5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Actions for early years and childcare providers (applies from Step 4)</w:t>
      </w:r>
    </w:p>
    <w:p w14:paraId="63517F99" w14:textId="77777777" w:rsidR="00DF5C53" w:rsidRPr="00DF5C53" w:rsidRDefault="00DF5C53" w:rsidP="00DF5C53">
      <w:pPr>
        <w:shd w:val="clear" w:color="auto" w:fill="FFFFFF"/>
        <w:spacing w:after="0" w:line="214" w:lineRule="atLeast"/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en-GB"/>
        </w:rPr>
      </w:pPr>
      <w:hyperlink r:id="rId11" w:tgtFrame="_blank" w:history="1">
        <w:r w:rsidRPr="00DF5C53">
          <w:rPr>
            <w:rFonts w:asciiTheme="minorHAnsi" w:eastAsia="Times New Roman" w:hAnsiTheme="minorHAnsi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GB"/>
          </w:rPr>
          <w:t>Actions for early years and childcare providers during the COVID-19 pandemic (applies from Step 4)</w:t>
        </w:r>
      </w:hyperlink>
    </w:p>
    <w:p w14:paraId="47E25EFD" w14:textId="3560F6EF" w:rsidR="00300CBB" w:rsidRPr="00D75E92" w:rsidRDefault="00DF5C53" w:rsidP="00365512">
      <w:pPr>
        <w:shd w:val="clear" w:color="auto" w:fill="FFFFFF"/>
        <w:spacing w:after="0" w:line="220" w:lineRule="atLeast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DF5C53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63EE0909" w14:textId="31461725" w:rsidR="00300CBB" w:rsidRPr="00D75E92" w:rsidRDefault="00300CBB" w:rsidP="00365512">
      <w:pPr>
        <w:shd w:val="clear" w:color="auto" w:fill="FFFFFF"/>
        <w:spacing w:after="0" w:line="220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D75E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Actions for out-of-school settings (applies from Step 4)</w:t>
      </w:r>
    </w:p>
    <w:p w14:paraId="761A8FF5" w14:textId="7D4A9291" w:rsidR="004236F9" w:rsidRPr="00D75E92" w:rsidRDefault="00300CBB" w:rsidP="00D75E92">
      <w:pPr>
        <w:rPr>
          <w:rStyle w:val="normaltextrun"/>
          <w:rFonts w:asciiTheme="minorHAnsi" w:hAnsiTheme="minorHAnsi" w:cstheme="minorHAnsi"/>
          <w:sz w:val="24"/>
          <w:szCs w:val="24"/>
        </w:rPr>
      </w:pPr>
      <w:hyperlink r:id="rId12" w:history="1">
        <w:r w:rsidRPr="00300CBB">
          <w:rPr>
            <w:rFonts w:asciiTheme="minorHAnsi" w:hAnsiTheme="minorHAnsi" w:cstheme="minorHAnsi"/>
            <w:color w:val="0563C1" w:themeColor="hyperlink"/>
            <w:sz w:val="24"/>
            <w:szCs w:val="24"/>
            <w:u w:val="single"/>
          </w:rPr>
          <w:t>https://assets.publishing.service.gov.uk/government/uploads/system/uploads/attachment_data/file/999758/OOSS_Provider_Guidance_PDF_Step_4.pdf</w:t>
        </w:r>
      </w:hyperlink>
    </w:p>
    <w:p w14:paraId="01D91D18" w14:textId="77777777" w:rsidR="00D75E92" w:rsidRDefault="00D75E92" w:rsidP="004236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712AAD" w14:textId="7C025DE5" w:rsidR="004236F9" w:rsidRPr="00D75E92" w:rsidRDefault="00760DA0" w:rsidP="004236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D75E92">
        <w:rPr>
          <w:rStyle w:val="normaltextrun"/>
          <w:rFonts w:asciiTheme="minorHAnsi" w:hAnsiTheme="minorHAnsi" w:cstheme="minorHAnsi"/>
          <w:b/>
          <w:bCs/>
        </w:rPr>
        <w:t>Covid-19 risk assessments</w:t>
      </w:r>
      <w:r w:rsidR="00D75E92" w:rsidRPr="00D75E92">
        <w:rPr>
          <w:rStyle w:val="normaltextrun"/>
          <w:rFonts w:asciiTheme="minorHAnsi" w:hAnsiTheme="minorHAnsi" w:cstheme="minorHAnsi"/>
        </w:rPr>
        <w:t xml:space="preserve"> will need to </w:t>
      </w:r>
      <w:r w:rsidR="00D75E92">
        <w:rPr>
          <w:rStyle w:val="normaltextrun"/>
          <w:rFonts w:asciiTheme="minorHAnsi" w:hAnsiTheme="minorHAnsi" w:cstheme="minorHAnsi"/>
        </w:rPr>
        <w:t xml:space="preserve">be </w:t>
      </w:r>
      <w:r w:rsidR="00D75E92" w:rsidRPr="00D75E92">
        <w:rPr>
          <w:rStyle w:val="normaltextrun"/>
          <w:rFonts w:asciiTheme="minorHAnsi" w:hAnsiTheme="minorHAnsi" w:cstheme="minorHAnsi"/>
        </w:rPr>
        <w:t>review</w:t>
      </w:r>
      <w:r w:rsidR="00D75E92">
        <w:rPr>
          <w:rStyle w:val="normaltextrun"/>
          <w:rFonts w:asciiTheme="minorHAnsi" w:hAnsiTheme="minorHAnsi" w:cstheme="minorHAnsi"/>
        </w:rPr>
        <w:t>ed</w:t>
      </w:r>
      <w:r w:rsidR="00D75E92" w:rsidRPr="00D75E92">
        <w:rPr>
          <w:rStyle w:val="normaltextrun"/>
          <w:rFonts w:asciiTheme="minorHAnsi" w:hAnsiTheme="minorHAnsi" w:cstheme="minorHAnsi"/>
        </w:rPr>
        <w:t xml:space="preserve"> </w:t>
      </w:r>
      <w:r w:rsidRPr="00D75E92">
        <w:rPr>
          <w:rStyle w:val="normaltextrun"/>
          <w:rFonts w:asciiTheme="minorHAnsi" w:hAnsiTheme="minorHAnsi" w:cstheme="minorHAnsi"/>
        </w:rPr>
        <w:t>in line with the updated guidance.</w:t>
      </w:r>
    </w:p>
    <w:p w14:paraId="79ECBB6A" w14:textId="77777777" w:rsidR="00D75E92" w:rsidRDefault="00D75E92" w:rsidP="00D75E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444C16B1" w14:textId="56421E17" w:rsidR="00D75E92" w:rsidRDefault="00D75E92" w:rsidP="00D75E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D75E92">
        <w:rPr>
          <w:rFonts w:asciiTheme="minorHAnsi" w:hAnsiTheme="minorHAnsi" w:cstheme="minorHAnsi"/>
          <w:b/>
          <w:bCs/>
        </w:rPr>
        <w:t>Advice and support will continue to be available throughout July and August via</w:t>
      </w:r>
      <w:r>
        <w:rPr>
          <w:rFonts w:asciiTheme="minorHAnsi" w:hAnsiTheme="minorHAnsi" w:cstheme="minorHAnsi"/>
          <w:b/>
          <w:bCs/>
        </w:rPr>
        <w:t>:</w:t>
      </w:r>
      <w:r w:rsidRPr="00D75E92">
        <w:rPr>
          <w:rFonts w:asciiTheme="minorHAnsi" w:hAnsiTheme="minorHAnsi" w:cstheme="minorHAnsi"/>
          <w:b/>
          <w:bCs/>
        </w:rPr>
        <w:t xml:space="preserve"> </w:t>
      </w:r>
      <w:hyperlink r:id="rId13" w:history="1">
        <w:r w:rsidRPr="00D75E92">
          <w:rPr>
            <w:rStyle w:val="Hyperlink"/>
            <w:rFonts w:asciiTheme="minorHAnsi" w:hAnsiTheme="minorHAnsi" w:cstheme="minorHAnsi"/>
            <w:b/>
            <w:bCs/>
          </w:rPr>
          <w:t>earlyyearsadvisors@warwickshire.gov.uk</w:t>
        </w:r>
      </w:hyperlink>
    </w:p>
    <w:p w14:paraId="3A284EF6" w14:textId="55859CB6" w:rsidR="00D75E92" w:rsidRDefault="00D75E92" w:rsidP="00D75E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38135" w:themeColor="accent6" w:themeShade="BF"/>
        </w:rPr>
      </w:pPr>
      <w:hyperlink r:id="rId14" w:history="1">
        <w:r w:rsidRPr="00D55B1F">
          <w:rPr>
            <w:rStyle w:val="Hyperlink"/>
            <w:rFonts w:asciiTheme="minorHAnsi" w:hAnsiTheme="minorHAnsi" w:cstheme="minorHAnsi"/>
            <w:b/>
            <w:bCs/>
          </w:rPr>
          <w:t>dphadmin@warwickshire.gov.uk</w:t>
        </w:r>
      </w:hyperlink>
    </w:p>
    <w:p w14:paraId="4BE1AFAC" w14:textId="79EB8ED6" w:rsidR="00D75E92" w:rsidRDefault="00D75E92" w:rsidP="00D75E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5CD3A2D9" w14:textId="77777777" w:rsidR="00D75E92" w:rsidRPr="00D75E92" w:rsidRDefault="00D75E92" w:rsidP="00D75E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095424F7" w14:textId="4B787078" w:rsidR="00D75E92" w:rsidRPr="00D75E92" w:rsidRDefault="004B30C2" w:rsidP="00D75E9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75E92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 xml:space="preserve">Reminders on cleaning all Early Years and </w:t>
      </w:r>
      <w:r w:rsidR="00760DA0" w:rsidRPr="00D75E92">
        <w:rPr>
          <w:rFonts w:asciiTheme="minorHAnsi" w:hAnsiTheme="minorHAnsi" w:cstheme="minorHAnsi"/>
          <w:b/>
          <w:bCs/>
          <w:color w:val="538135" w:themeColor="accent6" w:themeShade="BF"/>
        </w:rPr>
        <w:t>Childcare</w:t>
      </w:r>
      <w:r w:rsidRPr="00D75E92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settings.</w:t>
      </w:r>
      <w:r w:rsidR="00D75E92" w:rsidRPr="00D75E92">
        <w:rPr>
          <w:rFonts w:asciiTheme="minorHAnsi" w:hAnsiTheme="minorHAnsi" w:cstheme="minorHAnsi"/>
        </w:rPr>
        <w:t xml:space="preserve"> </w:t>
      </w:r>
    </w:p>
    <w:p w14:paraId="3A9D6E37" w14:textId="7C1ABFE4" w:rsidR="00D75E92" w:rsidRPr="00D75E92" w:rsidRDefault="00D75E92" w:rsidP="00D75E9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75E92">
        <w:rPr>
          <w:rFonts w:asciiTheme="minorHAnsi" w:hAnsiTheme="minorHAnsi" w:cstheme="minorHAnsi"/>
        </w:rPr>
        <w:t xml:space="preserve">Warwickshire County Council and Warwickshire Public Health recommend that providers continue to maintain high levels of hygiene and cleaning processes when </w:t>
      </w:r>
      <w:r w:rsidRPr="00D75E92">
        <w:rPr>
          <w:rFonts w:asciiTheme="minorHAnsi" w:hAnsiTheme="minorHAnsi" w:cstheme="minorHAnsi"/>
          <w:b/>
          <w:bCs/>
        </w:rPr>
        <w:t>Step 4</w:t>
      </w:r>
      <w:r w:rsidRPr="00D75E92">
        <w:rPr>
          <w:rFonts w:asciiTheme="minorHAnsi" w:hAnsiTheme="minorHAnsi" w:cstheme="minorHAnsi"/>
        </w:rPr>
        <w:t xml:space="preserve"> comes into effect.</w:t>
      </w:r>
    </w:p>
    <w:p w14:paraId="37DDD330" w14:textId="77777777" w:rsidR="00D75E92" w:rsidRDefault="00D75E92" w:rsidP="00BE16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AB04F2" w14:textId="3E1B4975" w:rsidR="00BE1614" w:rsidRPr="00D75E92" w:rsidRDefault="00BE1614" w:rsidP="00BE16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 xml:space="preserve">Areas to Prioritise for Disinfection </w:t>
      </w:r>
    </w:p>
    <w:p w14:paraId="4BE9A54F" w14:textId="77777777" w:rsidR="00BE1614" w:rsidRPr="00D75E92" w:rsidRDefault="00BE1614" w:rsidP="00BE16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 xml:space="preserve">High-touch Surfaces </w:t>
      </w:r>
    </w:p>
    <w:p w14:paraId="5D77A908" w14:textId="6B660384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>• Door and window handles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9F4DB0">
        <w:rPr>
          <w:rFonts w:asciiTheme="minorHAnsi" w:hAnsiTheme="minorHAnsi" w:cstheme="minorHAnsi"/>
          <w:sz w:val="24"/>
          <w:szCs w:val="24"/>
        </w:rPr>
        <w:t xml:space="preserve"> </w:t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Pr="00D75E92">
        <w:rPr>
          <w:rFonts w:asciiTheme="minorHAnsi" w:hAnsiTheme="minorHAnsi" w:cstheme="minorHAnsi"/>
          <w:sz w:val="24"/>
          <w:szCs w:val="24"/>
        </w:rPr>
        <w:t>• Touch screen devices</w:t>
      </w:r>
    </w:p>
    <w:p w14:paraId="529C6FDF" w14:textId="3AB27602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• </w:t>
      </w:r>
      <w:r w:rsidR="00760DA0" w:rsidRPr="00D75E92">
        <w:rPr>
          <w:rFonts w:asciiTheme="minorHAnsi" w:hAnsiTheme="minorHAnsi" w:cstheme="minorHAnsi"/>
          <w:sz w:val="24"/>
          <w:szCs w:val="24"/>
        </w:rPr>
        <w:t>Furniture/soft furnishings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9F4DB0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Pr="00D75E92">
        <w:rPr>
          <w:rFonts w:asciiTheme="minorHAnsi" w:hAnsiTheme="minorHAnsi" w:cstheme="minorHAnsi"/>
          <w:sz w:val="24"/>
          <w:szCs w:val="24"/>
        </w:rPr>
        <w:t>• Shared Telephones</w:t>
      </w:r>
    </w:p>
    <w:p w14:paraId="567CA14A" w14:textId="356E568D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• Sports equipment 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D75E92">
        <w:rPr>
          <w:rFonts w:asciiTheme="minorHAnsi" w:hAnsiTheme="minorHAnsi" w:cstheme="minorHAnsi"/>
          <w:sz w:val="24"/>
          <w:szCs w:val="24"/>
        </w:rPr>
        <w:t>• Remote controls</w:t>
      </w:r>
    </w:p>
    <w:p w14:paraId="06448793" w14:textId="00AAFCD7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>• Toys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760DA0" w:rsidRPr="00D75E92">
        <w:rPr>
          <w:rFonts w:asciiTheme="minorHAnsi" w:hAnsiTheme="minorHAnsi" w:cstheme="minorHAnsi"/>
          <w:sz w:val="24"/>
          <w:szCs w:val="24"/>
        </w:rPr>
        <w:t>and books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9F4DB0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D75E92">
        <w:rPr>
          <w:rFonts w:asciiTheme="minorHAnsi" w:hAnsiTheme="minorHAnsi" w:cstheme="minorHAnsi"/>
          <w:sz w:val="24"/>
          <w:szCs w:val="24"/>
        </w:rPr>
        <w:t>• Light switches</w:t>
      </w:r>
    </w:p>
    <w:p w14:paraId="0E11D744" w14:textId="166C2150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• </w:t>
      </w:r>
      <w:r w:rsidR="00760DA0" w:rsidRPr="00D75E92">
        <w:rPr>
          <w:rFonts w:asciiTheme="minorHAnsi" w:hAnsiTheme="minorHAnsi" w:cstheme="minorHAnsi"/>
          <w:sz w:val="24"/>
          <w:szCs w:val="24"/>
        </w:rPr>
        <w:t>Outdoor equipment</w:t>
      </w:r>
      <w:r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9F4DB0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D75E92">
        <w:rPr>
          <w:rFonts w:asciiTheme="minorHAnsi" w:hAnsiTheme="minorHAnsi" w:cstheme="minorHAnsi"/>
          <w:sz w:val="24"/>
          <w:szCs w:val="24"/>
        </w:rPr>
        <w:t>• Stair banisters</w:t>
      </w:r>
    </w:p>
    <w:p w14:paraId="5D7BFC68" w14:textId="609C8414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• Intercom buttons 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D75E92">
        <w:rPr>
          <w:rFonts w:asciiTheme="minorHAnsi" w:hAnsiTheme="minorHAnsi" w:cstheme="minorHAnsi"/>
          <w:sz w:val="24"/>
          <w:szCs w:val="24"/>
        </w:rPr>
        <w:t>• Countertops</w:t>
      </w:r>
    </w:p>
    <w:p w14:paraId="788EFE2A" w14:textId="6FB1AD14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• Computer keyboards </w:t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Pr="00D75E92">
        <w:rPr>
          <w:rFonts w:asciiTheme="minorHAnsi" w:hAnsiTheme="minorHAnsi" w:cstheme="minorHAnsi"/>
          <w:sz w:val="24"/>
          <w:szCs w:val="24"/>
        </w:rPr>
        <w:tab/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75E92">
        <w:rPr>
          <w:rFonts w:asciiTheme="minorHAnsi" w:hAnsiTheme="minorHAnsi" w:cstheme="minorHAnsi"/>
          <w:sz w:val="24"/>
          <w:szCs w:val="24"/>
        </w:rPr>
        <w:t>• Bathroom surfaces</w:t>
      </w:r>
    </w:p>
    <w:p w14:paraId="34B0E584" w14:textId="5FC7D71A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• Printers, photocopiers, scanners etc         </w:t>
      </w:r>
      <w:r w:rsidR="00760DA0" w:rsidRPr="00D75E92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D75E92">
        <w:rPr>
          <w:rFonts w:asciiTheme="minorHAnsi" w:hAnsiTheme="minorHAnsi" w:cstheme="minorHAnsi"/>
          <w:sz w:val="24"/>
          <w:szCs w:val="24"/>
        </w:rPr>
        <w:t xml:space="preserve"> • Toilets and taps</w:t>
      </w:r>
    </w:p>
    <w:p w14:paraId="18967402" w14:textId="0056DC4C" w:rsidR="00D75E92" w:rsidRPr="00D75E92" w:rsidRDefault="00760DA0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>Note:</w:t>
      </w:r>
      <w:r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="00BE1614" w:rsidRPr="00D75E92">
        <w:rPr>
          <w:rFonts w:asciiTheme="minorHAnsi" w:hAnsiTheme="minorHAnsi" w:cstheme="minorHAnsi"/>
          <w:sz w:val="24"/>
          <w:szCs w:val="24"/>
        </w:rPr>
        <w:t>Whil</w:t>
      </w:r>
      <w:r w:rsidRPr="00D75E92">
        <w:rPr>
          <w:rFonts w:asciiTheme="minorHAnsi" w:hAnsiTheme="minorHAnsi" w:cstheme="minorHAnsi"/>
          <w:sz w:val="24"/>
          <w:szCs w:val="24"/>
        </w:rPr>
        <w:t>st</w:t>
      </w:r>
      <w:r w:rsidR="00BE1614" w:rsidRPr="00D75E92">
        <w:rPr>
          <w:rFonts w:asciiTheme="minorHAnsi" w:hAnsiTheme="minorHAnsi" w:cstheme="minorHAnsi"/>
          <w:sz w:val="24"/>
          <w:szCs w:val="24"/>
        </w:rPr>
        <w:t xml:space="preserve"> there is a significant reduction in virus survival on surfaces after 48 hours, viruses may survive on some surfaces up to 72 hours. We recommend a two-stage physical clean - i.e. use of detergent followed by disinfectant, or a good clean using a combined product. Fogging can be used for cleaning but must be in addition to physical clean.</w:t>
      </w:r>
    </w:p>
    <w:p w14:paraId="4C527A77" w14:textId="77777777" w:rsidR="00BE1614" w:rsidRPr="00D75E92" w:rsidRDefault="00BE1614" w:rsidP="00BE16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 xml:space="preserve">Cleaning Products </w:t>
      </w:r>
    </w:p>
    <w:p w14:paraId="75A6B085" w14:textId="77777777" w:rsidR="00BE1614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Utilise one of the following methods: </w:t>
      </w:r>
    </w:p>
    <w:p w14:paraId="2C6C0A52" w14:textId="77777777" w:rsidR="00BE1614" w:rsidRPr="00D75E92" w:rsidRDefault="00BE1614" w:rsidP="00BE161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A combined detergent/disinfectant solution giving 1000 ppm (0.1%) of available chlorine. </w:t>
      </w:r>
    </w:p>
    <w:p w14:paraId="42CF6FDE" w14:textId="515BEB83" w:rsidR="00BE1614" w:rsidRPr="00D75E92" w:rsidRDefault="00BE1614" w:rsidP="00BE161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A separate detergent followed by a disinfectant solution giving 1000 ppm (0.1%) available chlorine </w:t>
      </w:r>
      <w:r w:rsidR="00D75E92" w:rsidRPr="00D75E92">
        <w:rPr>
          <w:rFonts w:asciiTheme="minorHAnsi" w:hAnsiTheme="minorHAnsi" w:cstheme="minorHAnsi"/>
          <w:sz w:val="24"/>
          <w:szCs w:val="24"/>
        </w:rPr>
        <w:t>e.g.</w:t>
      </w:r>
      <w:r w:rsidR="002B31A3" w:rsidRPr="00D75E92">
        <w:rPr>
          <w:rFonts w:asciiTheme="minorHAnsi" w:hAnsiTheme="minorHAnsi" w:cstheme="minorHAnsi"/>
          <w:sz w:val="24"/>
          <w:szCs w:val="24"/>
        </w:rPr>
        <w:t>:</w:t>
      </w:r>
      <w:r w:rsidRPr="00D75E92">
        <w:rPr>
          <w:rFonts w:asciiTheme="minorHAnsi" w:hAnsiTheme="minorHAnsi" w:cstheme="minorHAnsi"/>
          <w:sz w:val="24"/>
          <w:szCs w:val="24"/>
        </w:rPr>
        <w:t xml:space="preserve"> Milton disinfectant/tablets.</w:t>
      </w:r>
    </w:p>
    <w:p w14:paraId="0BF868AB" w14:textId="229EC312" w:rsidR="00BE1614" w:rsidRPr="00D75E92" w:rsidRDefault="00BE1614" w:rsidP="00BE161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An alternative sanitiser effective against enveloped viruses and tested to BS EN 14476. </w:t>
      </w:r>
    </w:p>
    <w:p w14:paraId="53D42FE7" w14:textId="39CD187E" w:rsidR="00BE1614" w:rsidRPr="00D75E92" w:rsidRDefault="00BE1614" w:rsidP="002B31A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>See Picture:</w:t>
      </w:r>
    </w:p>
    <w:p w14:paraId="75988F25" w14:textId="2749C533" w:rsidR="00226200" w:rsidRPr="00D75E92" w:rsidRDefault="00BE1614" w:rsidP="00D75E92">
      <w:pPr>
        <w:jc w:val="center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64B9E9B" wp14:editId="150C3576">
            <wp:extent cx="1493520" cy="969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D629C" w14:textId="1B8FC580" w:rsidR="00BE1614" w:rsidRPr="00D75E92" w:rsidRDefault="00BE1614" w:rsidP="00BE16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sz w:val="24"/>
          <w:szCs w:val="24"/>
        </w:rPr>
        <w:t xml:space="preserve">Ventilation </w:t>
      </w:r>
    </w:p>
    <w:p w14:paraId="74AA01EC" w14:textId="541EF930" w:rsidR="002B31A3" w:rsidRPr="00D75E92" w:rsidRDefault="00BE1614" w:rsidP="00BE1614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>Ensure adequate ventilation and increase airflow where possible to all occupied spaces on visits.</w:t>
      </w:r>
      <w:r w:rsidR="00184309" w:rsidRPr="00D75E92">
        <w:rPr>
          <w:rFonts w:asciiTheme="minorHAnsi" w:hAnsiTheme="minorHAnsi" w:cstheme="minorHAnsi"/>
          <w:sz w:val="24"/>
          <w:szCs w:val="24"/>
        </w:rPr>
        <w:t xml:space="preserve"> To help with this,</w:t>
      </w:r>
      <w:r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="00184309" w:rsidRPr="00D75E92">
        <w:rPr>
          <w:rFonts w:asciiTheme="minorHAnsi" w:hAnsiTheme="minorHAnsi" w:cstheme="minorHAnsi"/>
          <w:sz w:val="24"/>
          <w:szCs w:val="24"/>
        </w:rPr>
        <w:t>c</w:t>
      </w:r>
      <w:r w:rsidRPr="00D75E92">
        <w:rPr>
          <w:rFonts w:asciiTheme="minorHAnsi" w:hAnsiTheme="minorHAnsi" w:cstheme="minorHAnsi"/>
          <w:sz w:val="24"/>
          <w:szCs w:val="24"/>
        </w:rPr>
        <w:t>onsider</w:t>
      </w:r>
      <w:r w:rsidR="00184309"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Pr="00D75E92">
        <w:rPr>
          <w:rFonts w:asciiTheme="minorHAnsi" w:hAnsiTheme="minorHAnsi" w:cstheme="minorHAnsi"/>
          <w:sz w:val="24"/>
          <w:szCs w:val="24"/>
        </w:rPr>
        <w:t>opening windows and doors – where it is safe to do so.</w:t>
      </w:r>
    </w:p>
    <w:p w14:paraId="38B80223" w14:textId="53FBAF6E" w:rsidR="00F37AD8" w:rsidRPr="00D75E92" w:rsidRDefault="006E3B15" w:rsidP="00F37AD8">
      <w:pPr>
        <w:jc w:val="both"/>
        <w:rPr>
          <w:rFonts w:asciiTheme="minorHAnsi" w:hAnsiTheme="minorHAnsi" w:cstheme="minorHAnsi"/>
          <w:sz w:val="24"/>
          <w:szCs w:val="24"/>
        </w:rPr>
      </w:pPr>
      <w:r w:rsidRPr="00D75E92">
        <w:rPr>
          <w:rFonts w:asciiTheme="minorHAnsi" w:hAnsiTheme="minorHAnsi" w:cstheme="minorHAnsi"/>
          <w:sz w:val="24"/>
          <w:szCs w:val="24"/>
        </w:rPr>
        <w:t xml:space="preserve">Please remember you know your </w:t>
      </w:r>
      <w:r w:rsidR="00D75E92" w:rsidRPr="00D75E92">
        <w:rPr>
          <w:rFonts w:asciiTheme="minorHAnsi" w:hAnsiTheme="minorHAnsi" w:cstheme="minorHAnsi"/>
          <w:sz w:val="24"/>
          <w:szCs w:val="24"/>
        </w:rPr>
        <w:t>setting</w:t>
      </w:r>
      <w:r w:rsidRPr="00D75E92">
        <w:rPr>
          <w:rFonts w:asciiTheme="minorHAnsi" w:hAnsiTheme="minorHAnsi" w:cstheme="minorHAnsi"/>
          <w:sz w:val="24"/>
          <w:szCs w:val="24"/>
        </w:rPr>
        <w:t xml:space="preserve"> and you know your community. The advice given is to enable you to make informed choices. </w:t>
      </w:r>
      <w:r w:rsidR="00E6410D" w:rsidRPr="00D75E92">
        <w:rPr>
          <w:rFonts w:asciiTheme="minorHAnsi" w:hAnsiTheme="minorHAnsi" w:cstheme="minorHAnsi"/>
          <w:sz w:val="24"/>
          <w:szCs w:val="24"/>
        </w:rPr>
        <w:t>There have been further variant outbreaks</w:t>
      </w:r>
      <w:r w:rsidR="00D75E92" w:rsidRPr="00D75E92">
        <w:rPr>
          <w:rFonts w:asciiTheme="minorHAnsi" w:hAnsiTheme="minorHAnsi" w:cstheme="minorHAnsi"/>
          <w:sz w:val="24"/>
          <w:szCs w:val="24"/>
        </w:rPr>
        <w:t xml:space="preserve"> and</w:t>
      </w:r>
      <w:r w:rsidR="00E6410D" w:rsidRPr="00D75E92">
        <w:rPr>
          <w:rFonts w:asciiTheme="minorHAnsi" w:hAnsiTheme="minorHAnsi" w:cstheme="minorHAnsi"/>
          <w:sz w:val="24"/>
          <w:szCs w:val="24"/>
        </w:rPr>
        <w:t xml:space="preserve"> </w:t>
      </w:r>
      <w:r w:rsidR="004936A1" w:rsidRPr="00D75E92">
        <w:rPr>
          <w:rFonts w:asciiTheme="minorHAnsi" w:hAnsiTheme="minorHAnsi" w:cstheme="minorHAnsi"/>
          <w:sz w:val="24"/>
          <w:szCs w:val="24"/>
        </w:rPr>
        <w:t>to</w:t>
      </w:r>
      <w:r w:rsidR="00E6410D" w:rsidRPr="00D75E92">
        <w:rPr>
          <w:rFonts w:asciiTheme="minorHAnsi" w:hAnsiTheme="minorHAnsi" w:cstheme="minorHAnsi"/>
          <w:sz w:val="24"/>
          <w:szCs w:val="24"/>
        </w:rPr>
        <w:t xml:space="preserve"> keep these under control, </w:t>
      </w:r>
      <w:r w:rsidR="00502700" w:rsidRPr="00D75E92">
        <w:rPr>
          <w:rFonts w:asciiTheme="minorHAnsi" w:hAnsiTheme="minorHAnsi" w:cstheme="minorHAnsi"/>
          <w:sz w:val="24"/>
          <w:szCs w:val="24"/>
        </w:rPr>
        <w:t xml:space="preserve">you may feel a more cautious and measured approach is appropriate. Please ensure </w:t>
      </w:r>
      <w:r w:rsidR="00CE003E" w:rsidRPr="00D75E92">
        <w:rPr>
          <w:rFonts w:asciiTheme="minorHAnsi" w:hAnsiTheme="minorHAnsi" w:cstheme="minorHAnsi"/>
          <w:sz w:val="24"/>
          <w:szCs w:val="24"/>
        </w:rPr>
        <w:t>you communicate to parents and carers and encourage them to follow whatever measures your school puts in place.</w:t>
      </w:r>
    </w:p>
    <w:p w14:paraId="4F14D61B" w14:textId="209739C7" w:rsidR="002B31A3" w:rsidRPr="00D75E92" w:rsidRDefault="00F37AD8" w:rsidP="00D75E92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75E92">
        <w:rPr>
          <w:rFonts w:asciiTheme="minorHAnsi" w:hAnsiTheme="minorHAnsi" w:cstheme="minorHAnsi"/>
          <w:b/>
          <w:bCs/>
          <w:color w:val="FF0000"/>
          <w:sz w:val="24"/>
          <w:szCs w:val="24"/>
        </w:rPr>
        <w:t>This guidance is subject to change in line with government guidance</w:t>
      </w:r>
    </w:p>
    <w:sectPr w:rsidR="002B31A3" w:rsidRPr="00D75E92" w:rsidSect="00BA04C6">
      <w:pgSz w:w="11906" w:h="16838"/>
      <w:pgMar w:top="720" w:right="720" w:bottom="720" w:left="720" w:header="709" w:footer="709" w:gutter="0"/>
      <w:pgBorders w:offsetFrom="page">
        <w:top w:val="thickThinSmallGap" w:sz="12" w:space="24" w:color="70AD47" w:themeColor="accent6"/>
        <w:left w:val="thickThinSmallGap" w:sz="12" w:space="24" w:color="70AD47" w:themeColor="accent6"/>
        <w:bottom w:val="thinThickSmallGap" w:sz="12" w:space="24" w:color="70AD47" w:themeColor="accent6"/>
        <w:right w:val="thinThickSmallGap" w:sz="12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4569" w14:textId="77777777" w:rsidR="00050486" w:rsidRDefault="00050486" w:rsidP="00EC7CBB">
      <w:pPr>
        <w:spacing w:after="0" w:line="240" w:lineRule="auto"/>
      </w:pPr>
      <w:r>
        <w:separator/>
      </w:r>
    </w:p>
  </w:endnote>
  <w:endnote w:type="continuationSeparator" w:id="0">
    <w:p w14:paraId="12B1067D" w14:textId="77777777" w:rsidR="00050486" w:rsidRDefault="00050486" w:rsidP="00EC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ABA3" w14:textId="77777777" w:rsidR="00050486" w:rsidRDefault="00050486" w:rsidP="00EC7CBB">
      <w:pPr>
        <w:spacing w:after="0" w:line="240" w:lineRule="auto"/>
      </w:pPr>
      <w:r>
        <w:separator/>
      </w:r>
    </w:p>
  </w:footnote>
  <w:footnote w:type="continuationSeparator" w:id="0">
    <w:p w14:paraId="2942BB9B" w14:textId="77777777" w:rsidR="00050486" w:rsidRDefault="00050486" w:rsidP="00EC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387F"/>
    <w:multiLevelType w:val="hybridMultilevel"/>
    <w:tmpl w:val="3D94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89A"/>
    <w:multiLevelType w:val="hybridMultilevel"/>
    <w:tmpl w:val="EEBE7E84"/>
    <w:lvl w:ilvl="0" w:tplc="E0907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76C"/>
    <w:multiLevelType w:val="hybridMultilevel"/>
    <w:tmpl w:val="F78C6F68"/>
    <w:lvl w:ilvl="0" w:tplc="E0907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3FA9"/>
    <w:multiLevelType w:val="hybridMultilevel"/>
    <w:tmpl w:val="D56A025A"/>
    <w:lvl w:ilvl="0" w:tplc="E0907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34C6"/>
    <w:multiLevelType w:val="hybridMultilevel"/>
    <w:tmpl w:val="368E4484"/>
    <w:lvl w:ilvl="0" w:tplc="DDE2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1DD"/>
    <w:multiLevelType w:val="hybridMultilevel"/>
    <w:tmpl w:val="38EE62AA"/>
    <w:lvl w:ilvl="0" w:tplc="0046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7689"/>
    <w:multiLevelType w:val="multilevel"/>
    <w:tmpl w:val="935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127D1"/>
    <w:multiLevelType w:val="hybridMultilevel"/>
    <w:tmpl w:val="D416DA7E"/>
    <w:lvl w:ilvl="0" w:tplc="8F04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3472"/>
    <w:multiLevelType w:val="multilevel"/>
    <w:tmpl w:val="E820D0D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C6"/>
    <w:rsid w:val="000009B3"/>
    <w:rsid w:val="0001609D"/>
    <w:rsid w:val="00050486"/>
    <w:rsid w:val="00066BFD"/>
    <w:rsid w:val="000670C3"/>
    <w:rsid w:val="00085A48"/>
    <w:rsid w:val="000B3618"/>
    <w:rsid w:val="001137DD"/>
    <w:rsid w:val="001159C3"/>
    <w:rsid w:val="001616AD"/>
    <w:rsid w:val="00184309"/>
    <w:rsid w:val="00185B99"/>
    <w:rsid w:val="001D5C3A"/>
    <w:rsid w:val="001F7BB3"/>
    <w:rsid w:val="002253A2"/>
    <w:rsid w:val="00226200"/>
    <w:rsid w:val="00246504"/>
    <w:rsid w:val="00246527"/>
    <w:rsid w:val="002736EB"/>
    <w:rsid w:val="002B31A3"/>
    <w:rsid w:val="002C3958"/>
    <w:rsid w:val="002E43A8"/>
    <w:rsid w:val="002F34BD"/>
    <w:rsid w:val="00300CBB"/>
    <w:rsid w:val="003360B2"/>
    <w:rsid w:val="0035722F"/>
    <w:rsid w:val="003604F1"/>
    <w:rsid w:val="00362418"/>
    <w:rsid w:val="00365512"/>
    <w:rsid w:val="00371E1A"/>
    <w:rsid w:val="003A2826"/>
    <w:rsid w:val="003D51A0"/>
    <w:rsid w:val="003E2369"/>
    <w:rsid w:val="003F3310"/>
    <w:rsid w:val="004133A2"/>
    <w:rsid w:val="00413436"/>
    <w:rsid w:val="004236F9"/>
    <w:rsid w:val="0043607F"/>
    <w:rsid w:val="004936A1"/>
    <w:rsid w:val="004A0A71"/>
    <w:rsid w:val="004B30C2"/>
    <w:rsid w:val="004F0FE4"/>
    <w:rsid w:val="004F6299"/>
    <w:rsid w:val="00502700"/>
    <w:rsid w:val="005038E4"/>
    <w:rsid w:val="00516F06"/>
    <w:rsid w:val="00550183"/>
    <w:rsid w:val="005B0F7C"/>
    <w:rsid w:val="005E2DDD"/>
    <w:rsid w:val="005E7C1F"/>
    <w:rsid w:val="005F786A"/>
    <w:rsid w:val="005F78C3"/>
    <w:rsid w:val="006007A3"/>
    <w:rsid w:val="006269E5"/>
    <w:rsid w:val="006519EC"/>
    <w:rsid w:val="00683856"/>
    <w:rsid w:val="006B4DA9"/>
    <w:rsid w:val="006E3B15"/>
    <w:rsid w:val="00760DA0"/>
    <w:rsid w:val="00762EF7"/>
    <w:rsid w:val="007B0706"/>
    <w:rsid w:val="007E34B5"/>
    <w:rsid w:val="00820595"/>
    <w:rsid w:val="0082203A"/>
    <w:rsid w:val="00825169"/>
    <w:rsid w:val="008523DD"/>
    <w:rsid w:val="00886EB8"/>
    <w:rsid w:val="0093169C"/>
    <w:rsid w:val="00956EA8"/>
    <w:rsid w:val="00965804"/>
    <w:rsid w:val="009D61FC"/>
    <w:rsid w:val="009F00B9"/>
    <w:rsid w:val="009F4DB0"/>
    <w:rsid w:val="00A0582B"/>
    <w:rsid w:val="00A26326"/>
    <w:rsid w:val="00A4266B"/>
    <w:rsid w:val="00AA5BC5"/>
    <w:rsid w:val="00AF27A7"/>
    <w:rsid w:val="00B11FBC"/>
    <w:rsid w:val="00B15B88"/>
    <w:rsid w:val="00B26892"/>
    <w:rsid w:val="00B75DD6"/>
    <w:rsid w:val="00B91942"/>
    <w:rsid w:val="00BA04C6"/>
    <w:rsid w:val="00BA6B01"/>
    <w:rsid w:val="00BE1614"/>
    <w:rsid w:val="00BE49DA"/>
    <w:rsid w:val="00BF31BC"/>
    <w:rsid w:val="00BF4E9B"/>
    <w:rsid w:val="00BF56AC"/>
    <w:rsid w:val="00C5517B"/>
    <w:rsid w:val="00C64614"/>
    <w:rsid w:val="00C87E6A"/>
    <w:rsid w:val="00C96624"/>
    <w:rsid w:val="00CA2E3D"/>
    <w:rsid w:val="00CA3220"/>
    <w:rsid w:val="00CD044B"/>
    <w:rsid w:val="00CD69C1"/>
    <w:rsid w:val="00CE003E"/>
    <w:rsid w:val="00D5260A"/>
    <w:rsid w:val="00D75E92"/>
    <w:rsid w:val="00D77501"/>
    <w:rsid w:val="00D8689B"/>
    <w:rsid w:val="00DC75A2"/>
    <w:rsid w:val="00DD2CA5"/>
    <w:rsid w:val="00DD5AAA"/>
    <w:rsid w:val="00DF5C53"/>
    <w:rsid w:val="00E6410D"/>
    <w:rsid w:val="00E6501C"/>
    <w:rsid w:val="00E76ACE"/>
    <w:rsid w:val="00E87D52"/>
    <w:rsid w:val="00EA2532"/>
    <w:rsid w:val="00EB0F11"/>
    <w:rsid w:val="00EC28C9"/>
    <w:rsid w:val="00EC7CBB"/>
    <w:rsid w:val="00EF4188"/>
    <w:rsid w:val="00EF54F8"/>
    <w:rsid w:val="00F37AD8"/>
    <w:rsid w:val="00F63C74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507D"/>
  <w15:chartTrackingRefBased/>
  <w15:docId w15:val="{C67A82AC-6833-47DE-B04F-EDA0EC0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1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7E6A"/>
  </w:style>
  <w:style w:type="character" w:customStyle="1" w:styleId="eop">
    <w:name w:val="eop"/>
    <w:basedOn w:val="DefaultParagraphFont"/>
    <w:rsid w:val="00C87E6A"/>
  </w:style>
  <w:style w:type="paragraph" w:customStyle="1" w:styleId="xmsonormal">
    <w:name w:val="x_msonormal"/>
    <w:basedOn w:val="Normal"/>
    <w:rsid w:val="00DF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5C5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early-years-and-childcare-closures/actions-for-early-years-and-childcare-providers-during-the-coronavirus-covid-19-pandemic" TargetMode="External"/><Relationship Id="rId13" Type="http://schemas.openxmlformats.org/officeDocument/2006/relationships/hyperlink" Target="mailto:earlyyearsadvisors@warwick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sets.publishing.service.gov.uk/government/uploads/system/uploads/attachment_data/file/999758/OOSS_Provider_Guidance_PDF_Step_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999798/Actions_for_early_years_and_childcare_providers_during_the_COVID-19_pandemic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holiday-and-after-school-clubs-and-other-out-of-school-settings-during-the-coronavirus-covid-19-outbr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actions-for-schools-during-the-coronavirus-outbreak" TargetMode="External"/><Relationship Id="rId14" Type="http://schemas.openxmlformats.org/officeDocument/2006/relationships/hyperlink" Target="mailto:dphadmin@warwick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Barrow</dc:creator>
  <cp:keywords/>
  <dc:description/>
  <cp:lastModifiedBy>Sonia Waszczak</cp:lastModifiedBy>
  <cp:revision>3</cp:revision>
  <dcterms:created xsi:type="dcterms:W3CDTF">2021-07-08T08:22:00Z</dcterms:created>
  <dcterms:modified xsi:type="dcterms:W3CDTF">2021-07-08T08:24:00Z</dcterms:modified>
</cp:coreProperties>
</file>